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87" w:rsidRPr="00A8073B" w:rsidRDefault="00321587" w:rsidP="00321587">
      <w:pPr>
        <w:jc w:val="right"/>
        <w:rPr>
          <w:rFonts w:ascii="Futura Lt BT" w:hAnsi="Futura Lt BT"/>
          <w:color w:val="17365D"/>
          <w:sz w:val="40"/>
          <w:szCs w:val="40"/>
        </w:rPr>
      </w:pPr>
      <w:r>
        <w:rPr>
          <w:rFonts w:ascii="Futura Lt BT" w:hAnsi="Futura Lt BT"/>
          <w:noProof/>
          <w:color w:val="17365D"/>
          <w:sz w:val="56"/>
          <w:szCs w:val="56"/>
          <w:lang w:val="en-IE" w:eastAsia="en-IE"/>
        </w:rPr>
        <w:drawing>
          <wp:inline distT="0" distB="0" distL="0" distR="0">
            <wp:extent cx="1518986" cy="9620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_open stock fre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9404" cy="962290"/>
                    </a:xfrm>
                    <a:prstGeom prst="rect">
                      <a:avLst/>
                    </a:prstGeom>
                  </pic:spPr>
                </pic:pic>
              </a:graphicData>
            </a:graphic>
          </wp:inline>
        </w:drawing>
      </w:r>
    </w:p>
    <w:p w:rsidR="00321587" w:rsidRDefault="00321587" w:rsidP="00A8073B">
      <w:pPr>
        <w:spacing w:after="0"/>
      </w:pPr>
      <w:r>
        <w:rPr>
          <w:rFonts w:ascii="Futura Lt BT" w:hAnsi="Futura Lt BT"/>
          <w:color w:val="17365D"/>
          <w:sz w:val="56"/>
          <w:szCs w:val="56"/>
        </w:rPr>
        <w:t xml:space="preserve">Illustrative </w:t>
      </w:r>
      <w:r w:rsidRPr="00D12A0E">
        <w:rPr>
          <w:rFonts w:ascii="Futura Lt BT" w:hAnsi="Futura Lt BT"/>
          <w:color w:val="17365D"/>
          <w:sz w:val="56"/>
          <w:szCs w:val="56"/>
        </w:rPr>
        <w:t xml:space="preserve">Policy </w:t>
      </w:r>
      <w:r>
        <w:rPr>
          <w:rFonts w:ascii="Futura Lt BT" w:hAnsi="Futura Lt BT"/>
          <w:color w:val="17365D"/>
          <w:sz w:val="56"/>
          <w:szCs w:val="56"/>
        </w:rPr>
        <w:t>Proposal</w:t>
      </w:r>
    </w:p>
    <w:p w:rsidR="00321587" w:rsidRPr="00D12A0E" w:rsidRDefault="00321587" w:rsidP="00321587">
      <w:pPr>
        <w:rPr>
          <w:rFonts w:ascii="Arial" w:hAnsi="Arial" w:cs="Arial"/>
          <w:i/>
          <w:color w:val="17365D"/>
          <w:sz w:val="20"/>
          <w:szCs w:val="20"/>
        </w:rPr>
      </w:pPr>
    </w:p>
    <w:tbl>
      <w:tblPr>
        <w:tblStyle w:val="TableGrid"/>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tblPr>
      <w:tblGrid>
        <w:gridCol w:w="4531"/>
        <w:gridCol w:w="4485"/>
      </w:tblGrid>
      <w:tr w:rsidR="00321587" w:rsidRPr="007F045D" w:rsidTr="00090D10">
        <w:tc>
          <w:tcPr>
            <w:tcW w:w="4531" w:type="dxa"/>
          </w:tcPr>
          <w:p w:rsidR="00321587" w:rsidRPr="00D12A0E" w:rsidRDefault="00321587" w:rsidP="00090D10">
            <w:pPr>
              <w:rPr>
                <w:rFonts w:ascii="Arial" w:hAnsi="Arial" w:cs="Arial"/>
                <w:color w:val="17365D"/>
                <w:sz w:val="20"/>
                <w:szCs w:val="20"/>
              </w:rPr>
            </w:pPr>
            <w:r w:rsidRPr="00D12A0E">
              <w:rPr>
                <w:rFonts w:ascii="Arial" w:hAnsi="Arial" w:cs="Arial"/>
                <w:color w:val="17365D"/>
                <w:sz w:val="20"/>
                <w:szCs w:val="20"/>
              </w:rPr>
              <w:t>Policy title:</w:t>
            </w:r>
          </w:p>
        </w:tc>
        <w:tc>
          <w:tcPr>
            <w:tcW w:w="4485" w:type="dxa"/>
          </w:tcPr>
          <w:p w:rsidR="00321587" w:rsidRPr="004B4574" w:rsidRDefault="00464F07" w:rsidP="00090D10">
            <w:pPr>
              <w:rPr>
                <w:rFonts w:ascii="Arial" w:hAnsi="Arial" w:cs="Arial"/>
                <w:sz w:val="20"/>
                <w:szCs w:val="20"/>
              </w:rPr>
            </w:pPr>
            <w:r>
              <w:rPr>
                <w:rFonts w:ascii="Arial" w:hAnsi="Arial" w:cs="Arial"/>
                <w:sz w:val="20"/>
                <w:szCs w:val="20"/>
              </w:rPr>
              <w:t xml:space="preserve">Company </w:t>
            </w:r>
            <w:r w:rsidR="00321587">
              <w:rPr>
                <w:rFonts w:ascii="Arial" w:hAnsi="Arial" w:cs="Arial"/>
                <w:sz w:val="20"/>
                <w:szCs w:val="20"/>
              </w:rPr>
              <w:t>Dress Code</w:t>
            </w:r>
          </w:p>
        </w:tc>
      </w:tr>
      <w:tr w:rsidR="00321587" w:rsidRPr="007F045D" w:rsidTr="00090D10">
        <w:tc>
          <w:tcPr>
            <w:tcW w:w="4531" w:type="dxa"/>
          </w:tcPr>
          <w:p w:rsidR="00321587" w:rsidRPr="00D12A0E" w:rsidRDefault="00321587" w:rsidP="00090D10">
            <w:pPr>
              <w:rPr>
                <w:rFonts w:ascii="Arial" w:hAnsi="Arial" w:cs="Arial"/>
                <w:color w:val="17365D"/>
                <w:sz w:val="20"/>
                <w:szCs w:val="20"/>
              </w:rPr>
            </w:pPr>
            <w:r>
              <w:rPr>
                <w:rFonts w:ascii="Arial" w:hAnsi="Arial" w:cs="Arial"/>
                <w:color w:val="17365D"/>
                <w:sz w:val="20"/>
                <w:szCs w:val="20"/>
              </w:rPr>
              <w:t>Policy developer/reviewer:</w:t>
            </w:r>
          </w:p>
        </w:tc>
        <w:tc>
          <w:tcPr>
            <w:tcW w:w="4485" w:type="dxa"/>
          </w:tcPr>
          <w:p w:rsidR="00321587" w:rsidRPr="004B4574" w:rsidRDefault="00321587" w:rsidP="00090D10">
            <w:pPr>
              <w:rPr>
                <w:rFonts w:ascii="Arial" w:hAnsi="Arial" w:cs="Arial"/>
                <w:sz w:val="20"/>
                <w:szCs w:val="20"/>
              </w:rPr>
            </w:pPr>
            <w:r>
              <w:rPr>
                <w:rFonts w:ascii="Arial" w:hAnsi="Arial" w:cs="Arial"/>
                <w:sz w:val="20"/>
                <w:szCs w:val="20"/>
              </w:rPr>
              <w:t>ABCD</w:t>
            </w:r>
          </w:p>
        </w:tc>
      </w:tr>
      <w:tr w:rsidR="00321587" w:rsidRPr="007F045D" w:rsidTr="00090D10">
        <w:tc>
          <w:tcPr>
            <w:tcW w:w="4531" w:type="dxa"/>
          </w:tcPr>
          <w:p w:rsidR="00321587" w:rsidRPr="00D12A0E" w:rsidRDefault="00321587" w:rsidP="00090D10">
            <w:pPr>
              <w:rPr>
                <w:rFonts w:ascii="Arial" w:hAnsi="Arial" w:cs="Arial"/>
                <w:color w:val="17365D"/>
                <w:sz w:val="20"/>
                <w:szCs w:val="20"/>
              </w:rPr>
            </w:pPr>
            <w:r>
              <w:rPr>
                <w:rFonts w:ascii="Arial" w:hAnsi="Arial" w:cs="Arial"/>
                <w:color w:val="17365D"/>
                <w:sz w:val="20"/>
                <w:szCs w:val="20"/>
              </w:rPr>
              <w:t>Policy owner:</w:t>
            </w:r>
          </w:p>
        </w:tc>
        <w:tc>
          <w:tcPr>
            <w:tcW w:w="4485" w:type="dxa"/>
          </w:tcPr>
          <w:p w:rsidR="00321587" w:rsidRPr="004B4574" w:rsidRDefault="00321587" w:rsidP="00090D10">
            <w:pPr>
              <w:rPr>
                <w:rFonts w:ascii="Arial" w:hAnsi="Arial" w:cs="Arial"/>
                <w:sz w:val="20"/>
                <w:szCs w:val="20"/>
              </w:rPr>
            </w:pPr>
            <w:r>
              <w:rPr>
                <w:rFonts w:ascii="Arial" w:hAnsi="Arial" w:cs="Arial"/>
                <w:sz w:val="20"/>
                <w:szCs w:val="20"/>
              </w:rPr>
              <w:t>ABCD</w:t>
            </w:r>
          </w:p>
        </w:tc>
      </w:tr>
      <w:tr w:rsidR="00321587" w:rsidRPr="007F045D" w:rsidTr="00090D10">
        <w:tc>
          <w:tcPr>
            <w:tcW w:w="4531" w:type="dxa"/>
          </w:tcPr>
          <w:p w:rsidR="00321587" w:rsidRPr="00D12A0E" w:rsidRDefault="00321587" w:rsidP="00090D10">
            <w:pPr>
              <w:rPr>
                <w:rFonts w:ascii="Arial" w:hAnsi="Arial" w:cs="Arial"/>
                <w:color w:val="17365D"/>
                <w:sz w:val="20"/>
                <w:szCs w:val="20"/>
              </w:rPr>
            </w:pPr>
            <w:r w:rsidRPr="00D12A0E">
              <w:rPr>
                <w:rFonts w:ascii="Arial" w:hAnsi="Arial" w:cs="Arial"/>
                <w:color w:val="17365D"/>
                <w:sz w:val="20"/>
                <w:szCs w:val="20"/>
              </w:rPr>
              <w:t>Approval pathway:</w:t>
            </w:r>
          </w:p>
        </w:tc>
        <w:tc>
          <w:tcPr>
            <w:tcW w:w="4485" w:type="dxa"/>
          </w:tcPr>
          <w:p w:rsidR="00321587" w:rsidRPr="00321587" w:rsidRDefault="00321587" w:rsidP="00321587">
            <w:pPr>
              <w:pStyle w:val="ListParagraph"/>
              <w:numPr>
                <w:ilvl w:val="0"/>
                <w:numId w:val="4"/>
              </w:numPr>
              <w:rPr>
                <w:rFonts w:ascii="Arial" w:hAnsi="Arial" w:cs="Arial"/>
                <w:sz w:val="20"/>
                <w:szCs w:val="20"/>
              </w:rPr>
            </w:pPr>
            <w:r w:rsidRPr="00321587">
              <w:rPr>
                <w:rFonts w:ascii="Arial" w:hAnsi="Arial" w:cs="Arial"/>
                <w:sz w:val="20"/>
                <w:szCs w:val="20"/>
              </w:rPr>
              <w:t>Committee on XYZ</w:t>
            </w:r>
          </w:p>
          <w:p w:rsidR="00321587" w:rsidRPr="00321587" w:rsidRDefault="00321587" w:rsidP="00321587">
            <w:pPr>
              <w:pStyle w:val="ListParagraph"/>
              <w:numPr>
                <w:ilvl w:val="0"/>
                <w:numId w:val="4"/>
              </w:numPr>
              <w:rPr>
                <w:rFonts w:ascii="Arial" w:hAnsi="Arial" w:cs="Arial"/>
                <w:sz w:val="20"/>
                <w:szCs w:val="20"/>
              </w:rPr>
            </w:pPr>
            <w:r w:rsidRPr="00321587">
              <w:rPr>
                <w:rFonts w:ascii="Arial" w:hAnsi="Arial" w:cs="Arial"/>
                <w:sz w:val="20"/>
                <w:szCs w:val="20"/>
              </w:rPr>
              <w:t>Company Management Team</w:t>
            </w:r>
          </w:p>
        </w:tc>
      </w:tr>
      <w:tr w:rsidR="00321587" w:rsidRPr="007F045D" w:rsidTr="00090D10">
        <w:tc>
          <w:tcPr>
            <w:tcW w:w="4531" w:type="dxa"/>
          </w:tcPr>
          <w:p w:rsidR="00321587" w:rsidRPr="00D12A0E" w:rsidRDefault="00321587" w:rsidP="00090D10">
            <w:pPr>
              <w:rPr>
                <w:rFonts w:ascii="Arial" w:hAnsi="Arial" w:cs="Arial"/>
                <w:color w:val="17365D"/>
                <w:sz w:val="20"/>
                <w:szCs w:val="20"/>
              </w:rPr>
            </w:pPr>
            <w:r>
              <w:rPr>
                <w:rFonts w:ascii="Arial" w:hAnsi="Arial" w:cs="Arial"/>
                <w:color w:val="17365D"/>
                <w:sz w:val="20"/>
                <w:szCs w:val="20"/>
              </w:rPr>
              <w:t>Proposed approval date:</w:t>
            </w:r>
          </w:p>
        </w:tc>
        <w:tc>
          <w:tcPr>
            <w:tcW w:w="4485" w:type="dxa"/>
          </w:tcPr>
          <w:p w:rsidR="00321587" w:rsidRPr="004B4574" w:rsidRDefault="00321587" w:rsidP="00090D10">
            <w:pPr>
              <w:rPr>
                <w:rFonts w:ascii="Arial" w:hAnsi="Arial" w:cs="Arial"/>
                <w:sz w:val="20"/>
                <w:szCs w:val="20"/>
              </w:rPr>
            </w:pPr>
            <w:r w:rsidRPr="004B4574">
              <w:rPr>
                <w:rFonts w:ascii="Arial" w:hAnsi="Arial" w:cs="Arial"/>
                <w:sz w:val="20"/>
                <w:szCs w:val="20"/>
              </w:rPr>
              <w:t>27 April 2017</w:t>
            </w:r>
          </w:p>
        </w:tc>
      </w:tr>
      <w:tr w:rsidR="00321587" w:rsidRPr="007F045D" w:rsidTr="00090D10">
        <w:tc>
          <w:tcPr>
            <w:tcW w:w="4531" w:type="dxa"/>
          </w:tcPr>
          <w:p w:rsidR="00321587" w:rsidRPr="00D12A0E" w:rsidRDefault="00321587" w:rsidP="00090D10">
            <w:pPr>
              <w:rPr>
                <w:rFonts w:ascii="Arial" w:hAnsi="Arial" w:cs="Arial"/>
                <w:color w:val="17365D"/>
                <w:sz w:val="20"/>
                <w:szCs w:val="20"/>
              </w:rPr>
            </w:pPr>
            <w:r w:rsidRPr="00D12A0E">
              <w:rPr>
                <w:rFonts w:ascii="Arial" w:hAnsi="Arial" w:cs="Arial"/>
                <w:color w:val="17365D"/>
                <w:sz w:val="20"/>
                <w:szCs w:val="20"/>
              </w:rPr>
              <w:t>Proposed effective date:</w:t>
            </w:r>
          </w:p>
        </w:tc>
        <w:tc>
          <w:tcPr>
            <w:tcW w:w="4485" w:type="dxa"/>
          </w:tcPr>
          <w:p w:rsidR="00321587" w:rsidRPr="004B4574" w:rsidRDefault="00321587" w:rsidP="00090D10">
            <w:pPr>
              <w:rPr>
                <w:rFonts w:ascii="Arial" w:hAnsi="Arial" w:cs="Arial"/>
                <w:sz w:val="20"/>
                <w:szCs w:val="20"/>
              </w:rPr>
            </w:pPr>
            <w:r w:rsidRPr="004B4574">
              <w:rPr>
                <w:rFonts w:ascii="Arial" w:hAnsi="Arial" w:cs="Arial"/>
                <w:sz w:val="20"/>
                <w:szCs w:val="20"/>
              </w:rPr>
              <w:t>1 September 2017</w:t>
            </w:r>
          </w:p>
        </w:tc>
      </w:tr>
      <w:tr w:rsidR="00321587" w:rsidRPr="007F045D" w:rsidTr="00090D10">
        <w:tc>
          <w:tcPr>
            <w:tcW w:w="4531" w:type="dxa"/>
          </w:tcPr>
          <w:p w:rsidR="00321587" w:rsidRPr="00D12A0E" w:rsidRDefault="00321587" w:rsidP="00090D10">
            <w:pPr>
              <w:rPr>
                <w:rFonts w:ascii="Arial" w:hAnsi="Arial" w:cs="Arial"/>
                <w:color w:val="17365D"/>
                <w:sz w:val="20"/>
                <w:szCs w:val="20"/>
              </w:rPr>
            </w:pPr>
            <w:r w:rsidRPr="00D12A0E">
              <w:rPr>
                <w:rFonts w:ascii="Arial" w:hAnsi="Arial" w:cs="Arial"/>
                <w:color w:val="17365D"/>
                <w:sz w:val="20"/>
                <w:szCs w:val="20"/>
              </w:rPr>
              <w:t>Date of latest review if applicable:</w:t>
            </w:r>
          </w:p>
        </w:tc>
        <w:tc>
          <w:tcPr>
            <w:tcW w:w="4485" w:type="dxa"/>
          </w:tcPr>
          <w:p w:rsidR="00321587" w:rsidRPr="004B4574" w:rsidRDefault="00321587" w:rsidP="00090D10">
            <w:pPr>
              <w:rPr>
                <w:rFonts w:ascii="Arial" w:hAnsi="Arial" w:cs="Arial"/>
                <w:sz w:val="20"/>
                <w:szCs w:val="20"/>
              </w:rPr>
            </w:pPr>
            <w:r>
              <w:rPr>
                <w:rFonts w:ascii="Arial" w:hAnsi="Arial" w:cs="Arial"/>
                <w:sz w:val="20"/>
                <w:szCs w:val="20"/>
              </w:rPr>
              <w:t>N/A</w:t>
            </w:r>
          </w:p>
        </w:tc>
      </w:tr>
    </w:tbl>
    <w:p w:rsidR="00321587" w:rsidRPr="00E16642" w:rsidRDefault="00321587" w:rsidP="00321587">
      <w:pPr>
        <w:rPr>
          <w:rFonts w:ascii="Arial Black" w:eastAsia="Times New Roman" w:hAnsi="Arial Black" w:cs="Times New Roman"/>
          <w:b/>
          <w:spacing w:val="-5"/>
          <w:sz w:val="18"/>
          <w:szCs w:val="20"/>
        </w:rPr>
      </w:pPr>
    </w:p>
    <w:p w:rsidR="00321587" w:rsidRPr="00D12A0E" w:rsidRDefault="00321587" w:rsidP="00321587">
      <w:pPr>
        <w:pStyle w:val="ListParagraph"/>
        <w:numPr>
          <w:ilvl w:val="0"/>
          <w:numId w:val="1"/>
        </w:numPr>
        <w:ind w:hanging="720"/>
        <w:rPr>
          <w:rFonts w:ascii="Arial" w:hAnsi="Arial" w:cs="Arial"/>
          <w:b/>
          <w:color w:val="17365D"/>
          <w:sz w:val="24"/>
          <w:szCs w:val="24"/>
        </w:rPr>
      </w:pPr>
      <w:r>
        <w:rPr>
          <w:rFonts w:ascii="Arial" w:hAnsi="Arial" w:cs="Arial"/>
          <w:b/>
          <w:color w:val="17365D"/>
          <w:sz w:val="24"/>
          <w:szCs w:val="24"/>
        </w:rPr>
        <w:t xml:space="preserve">Purpose of policy </w:t>
      </w:r>
    </w:p>
    <w:p w:rsidR="00DB0A88" w:rsidRDefault="00DB0A88" w:rsidP="00DB0A88">
      <w:pPr>
        <w:spacing w:after="0" w:line="240" w:lineRule="auto"/>
        <w:rPr>
          <w:rFonts w:ascii="Arial" w:hAnsi="Arial" w:cs="Arial"/>
          <w:sz w:val="20"/>
          <w:szCs w:val="20"/>
        </w:rPr>
      </w:pPr>
    </w:p>
    <w:p w:rsidR="00DB0A88" w:rsidRPr="00CF4A72" w:rsidRDefault="00DB0A88" w:rsidP="00DB0A88">
      <w:pPr>
        <w:spacing w:after="0" w:line="240" w:lineRule="auto"/>
        <w:rPr>
          <w:rFonts w:ascii="Arial" w:hAnsi="Arial" w:cs="Arial"/>
          <w:sz w:val="20"/>
          <w:szCs w:val="20"/>
        </w:rPr>
      </w:pPr>
      <w:r w:rsidRPr="00CF4A72">
        <w:rPr>
          <w:rFonts w:ascii="Arial" w:hAnsi="Arial" w:cs="Arial"/>
          <w:sz w:val="20"/>
          <w:szCs w:val="20"/>
        </w:rPr>
        <w:t xml:space="preserve">Company Name strives to maintain a workplace environment that is well functioning and free from unnecessary distractions and annoyances. As part of that effort, the company requires employees to maintain a neat and clean appearance that is appropriate for the workplace setting and for the work being performed. To that end, Company Name </w:t>
      </w:r>
      <w:r w:rsidR="00AF4B13" w:rsidRPr="00CF4A72">
        <w:rPr>
          <w:rFonts w:ascii="Arial" w:hAnsi="Arial" w:cs="Arial"/>
          <w:sz w:val="20"/>
          <w:szCs w:val="20"/>
        </w:rPr>
        <w:t>heads of unit</w:t>
      </w:r>
      <w:r w:rsidRPr="00CF4A72">
        <w:rPr>
          <w:rFonts w:ascii="Arial" w:hAnsi="Arial" w:cs="Arial"/>
          <w:sz w:val="20"/>
          <w:szCs w:val="20"/>
        </w:rPr>
        <w:t xml:space="preserve"> may determine and enforce guidelines for workplace-appropriate attire and grooming for their areas; guidelines may limit natural or artificial scents that could be distracting or annoying to others.</w:t>
      </w:r>
    </w:p>
    <w:p w:rsidR="00321587" w:rsidRPr="00CF4A72" w:rsidRDefault="00321587" w:rsidP="00321587">
      <w:pPr>
        <w:spacing w:after="0" w:line="276" w:lineRule="auto"/>
        <w:rPr>
          <w:rFonts w:ascii="Arial" w:hAnsi="Arial" w:cs="Arial"/>
          <w:color w:val="17365D"/>
          <w:sz w:val="20"/>
          <w:szCs w:val="20"/>
        </w:rPr>
      </w:pPr>
    </w:p>
    <w:p w:rsidR="00321587" w:rsidRPr="00CF4A72" w:rsidRDefault="00321587" w:rsidP="00321587">
      <w:pPr>
        <w:pStyle w:val="ListParagraph"/>
        <w:numPr>
          <w:ilvl w:val="0"/>
          <w:numId w:val="1"/>
        </w:numPr>
        <w:ind w:left="0" w:firstLine="0"/>
        <w:rPr>
          <w:rFonts w:ascii="Arial" w:hAnsi="Arial" w:cs="Arial"/>
          <w:b/>
          <w:color w:val="17365D"/>
          <w:sz w:val="24"/>
          <w:szCs w:val="24"/>
        </w:rPr>
      </w:pPr>
      <w:r w:rsidRPr="00CF4A72">
        <w:rPr>
          <w:rFonts w:ascii="Arial" w:hAnsi="Arial" w:cs="Arial"/>
          <w:b/>
          <w:color w:val="17365D"/>
          <w:sz w:val="24"/>
          <w:szCs w:val="24"/>
        </w:rPr>
        <w:t>Policy scope</w:t>
      </w:r>
    </w:p>
    <w:p w:rsidR="00DB0A88" w:rsidRPr="00CF4A72" w:rsidRDefault="00321587" w:rsidP="00D05400">
      <w:pPr>
        <w:spacing w:after="0"/>
        <w:rPr>
          <w:rFonts w:ascii="Arial" w:hAnsi="Arial" w:cs="Arial"/>
          <w:sz w:val="20"/>
          <w:szCs w:val="20"/>
        </w:rPr>
      </w:pPr>
      <w:r w:rsidRPr="00CF4A72">
        <w:rPr>
          <w:rFonts w:ascii="Arial" w:hAnsi="Arial" w:cs="Arial"/>
          <w:sz w:val="20"/>
          <w:szCs w:val="20"/>
        </w:rPr>
        <w:t xml:space="preserve">The policy </w:t>
      </w:r>
      <w:r w:rsidR="00DB0A88" w:rsidRPr="00CF4A72">
        <w:rPr>
          <w:rFonts w:ascii="Arial" w:hAnsi="Arial" w:cs="Arial"/>
          <w:sz w:val="20"/>
          <w:szCs w:val="20"/>
        </w:rPr>
        <w:t xml:space="preserve">applies to all members of Company Name staff who are not on the Company Name Management Team. The policy will also apply to all members of temporary or contract staff </w:t>
      </w:r>
      <w:r w:rsidR="004F036F" w:rsidRPr="00CF4A72">
        <w:rPr>
          <w:rFonts w:ascii="Arial" w:hAnsi="Arial" w:cs="Arial"/>
          <w:sz w:val="20"/>
          <w:szCs w:val="20"/>
        </w:rPr>
        <w:t>employed</w:t>
      </w:r>
      <w:r w:rsidR="00DB0A88" w:rsidRPr="00CF4A72">
        <w:rPr>
          <w:rFonts w:ascii="Arial" w:hAnsi="Arial" w:cs="Arial"/>
          <w:sz w:val="20"/>
          <w:szCs w:val="20"/>
        </w:rPr>
        <w:t xml:space="preserve"> on any basis by Company Name.  </w:t>
      </w:r>
    </w:p>
    <w:p w:rsidR="00321587" w:rsidRPr="00CF4A72" w:rsidRDefault="00321587" w:rsidP="00321587">
      <w:pPr>
        <w:spacing w:after="0"/>
        <w:rPr>
          <w:rFonts w:ascii="Arial" w:hAnsi="Arial" w:cs="Arial"/>
          <w:color w:val="17365D"/>
          <w:sz w:val="20"/>
          <w:szCs w:val="20"/>
        </w:rPr>
      </w:pPr>
    </w:p>
    <w:p w:rsidR="00DB0A88" w:rsidRPr="00B25C9B" w:rsidRDefault="00321587" w:rsidP="00B25C9B">
      <w:pPr>
        <w:pStyle w:val="ListParagraph"/>
        <w:numPr>
          <w:ilvl w:val="0"/>
          <w:numId w:val="1"/>
        </w:numPr>
        <w:ind w:left="0" w:firstLine="0"/>
        <w:rPr>
          <w:rFonts w:ascii="Arial" w:hAnsi="Arial" w:cs="Arial"/>
          <w:b/>
          <w:color w:val="17365D"/>
          <w:sz w:val="24"/>
          <w:szCs w:val="24"/>
        </w:rPr>
      </w:pPr>
      <w:r w:rsidRPr="00CF4A72">
        <w:rPr>
          <w:rFonts w:ascii="Arial" w:hAnsi="Arial" w:cs="Arial"/>
          <w:b/>
          <w:color w:val="17365D"/>
          <w:sz w:val="24"/>
          <w:szCs w:val="24"/>
        </w:rPr>
        <w:t>Impact of policy</w:t>
      </w:r>
    </w:p>
    <w:p w:rsidR="00DB0A88" w:rsidRDefault="00DB0A88" w:rsidP="00DB0A88">
      <w:pPr>
        <w:spacing w:after="0" w:line="240" w:lineRule="auto"/>
        <w:rPr>
          <w:rFonts w:ascii="Arial" w:hAnsi="Arial" w:cs="Arial"/>
          <w:sz w:val="20"/>
          <w:szCs w:val="20"/>
        </w:rPr>
      </w:pPr>
      <w:r w:rsidRPr="00CF4A72">
        <w:rPr>
          <w:rFonts w:ascii="Arial" w:hAnsi="Arial" w:cs="Arial"/>
          <w:sz w:val="20"/>
          <w:szCs w:val="20"/>
        </w:rPr>
        <w:t xml:space="preserve">Any </w:t>
      </w:r>
      <w:r w:rsidR="00ED3FC0">
        <w:rPr>
          <w:rFonts w:ascii="Arial" w:hAnsi="Arial" w:cs="Arial"/>
          <w:sz w:val="20"/>
          <w:szCs w:val="20"/>
        </w:rPr>
        <w:t xml:space="preserve">male or female </w:t>
      </w:r>
      <w:r w:rsidRPr="00CF4A72">
        <w:rPr>
          <w:rFonts w:ascii="Arial" w:hAnsi="Arial" w:cs="Arial"/>
          <w:sz w:val="20"/>
          <w:szCs w:val="20"/>
        </w:rPr>
        <w:t xml:space="preserve">staff member who does not meet the attire or grooming standards set by his or her </w:t>
      </w:r>
      <w:r w:rsidR="00AF4B13" w:rsidRPr="00CF4A72">
        <w:rPr>
          <w:rFonts w:ascii="Arial" w:hAnsi="Arial" w:cs="Arial"/>
          <w:sz w:val="20"/>
          <w:szCs w:val="20"/>
        </w:rPr>
        <w:t>unit</w:t>
      </w:r>
      <w:r w:rsidRPr="00CF4A72">
        <w:rPr>
          <w:rFonts w:ascii="Arial" w:hAnsi="Arial" w:cs="Arial"/>
          <w:sz w:val="20"/>
          <w:szCs w:val="20"/>
        </w:rPr>
        <w:t xml:space="preserve"> will be subject to corrective action and may be asked to leave the premises to change clothing. Hourly paid staff members will not be compensated for any work time missed because of failure to comply with designated workplace attire and grooming standards.</w:t>
      </w:r>
    </w:p>
    <w:p w:rsidR="00B25C9B" w:rsidRPr="00CF4A72" w:rsidRDefault="00B25C9B" w:rsidP="00DB0A88">
      <w:pPr>
        <w:spacing w:after="0" w:line="240" w:lineRule="auto"/>
        <w:rPr>
          <w:rFonts w:ascii="Arial" w:hAnsi="Arial" w:cs="Arial"/>
          <w:sz w:val="20"/>
          <w:szCs w:val="20"/>
        </w:rPr>
      </w:pPr>
    </w:p>
    <w:p w:rsidR="00321587" w:rsidRPr="008808E8" w:rsidRDefault="00321587" w:rsidP="00321587">
      <w:pPr>
        <w:pStyle w:val="ListParagraph"/>
        <w:numPr>
          <w:ilvl w:val="0"/>
          <w:numId w:val="1"/>
        </w:numPr>
        <w:spacing w:line="276" w:lineRule="auto"/>
        <w:ind w:left="0" w:firstLine="0"/>
        <w:rPr>
          <w:rFonts w:ascii="Arial" w:hAnsi="Arial" w:cs="Arial"/>
          <w:b/>
          <w:color w:val="17365D"/>
          <w:sz w:val="24"/>
          <w:szCs w:val="24"/>
        </w:rPr>
      </w:pPr>
      <w:r w:rsidRPr="008808E8">
        <w:rPr>
          <w:rFonts w:ascii="Arial" w:hAnsi="Arial" w:cs="Arial"/>
          <w:b/>
          <w:color w:val="17365D"/>
          <w:sz w:val="24"/>
          <w:szCs w:val="24"/>
        </w:rPr>
        <w:t>Resource needs</w:t>
      </w:r>
    </w:p>
    <w:p w:rsidR="00024A5B" w:rsidRPr="008808E8" w:rsidRDefault="00321587" w:rsidP="00321587">
      <w:pPr>
        <w:spacing w:before="240"/>
        <w:rPr>
          <w:rFonts w:ascii="Arial" w:hAnsi="Arial" w:cs="Arial"/>
          <w:sz w:val="20"/>
          <w:szCs w:val="20"/>
        </w:rPr>
      </w:pPr>
      <w:r w:rsidRPr="008808E8">
        <w:rPr>
          <w:rFonts w:ascii="Arial" w:hAnsi="Arial" w:cs="Arial"/>
          <w:sz w:val="20"/>
          <w:szCs w:val="20"/>
        </w:rPr>
        <w:t>The policy r</w:t>
      </w:r>
      <w:r w:rsidR="00024A5B" w:rsidRPr="008808E8">
        <w:rPr>
          <w:rFonts w:ascii="Arial" w:hAnsi="Arial" w:cs="Arial"/>
          <w:sz w:val="20"/>
          <w:szCs w:val="20"/>
        </w:rPr>
        <w:t xml:space="preserve">oll-out </w:t>
      </w:r>
      <w:r w:rsidRPr="008808E8">
        <w:rPr>
          <w:rFonts w:ascii="Arial" w:hAnsi="Arial" w:cs="Arial"/>
          <w:sz w:val="20"/>
          <w:szCs w:val="20"/>
        </w:rPr>
        <w:t xml:space="preserve">should be </w:t>
      </w:r>
      <w:r w:rsidR="00024A5B" w:rsidRPr="008808E8">
        <w:rPr>
          <w:rFonts w:ascii="Arial" w:hAnsi="Arial" w:cs="Arial"/>
          <w:sz w:val="20"/>
          <w:szCs w:val="20"/>
        </w:rPr>
        <w:t>introduced by Company Name Human Resources unit.</w:t>
      </w:r>
      <w:r w:rsidRPr="008808E8">
        <w:rPr>
          <w:rFonts w:ascii="Arial" w:hAnsi="Arial" w:cs="Arial"/>
          <w:sz w:val="20"/>
          <w:szCs w:val="20"/>
        </w:rPr>
        <w:t xml:space="preserve"> </w:t>
      </w:r>
      <w:r w:rsidR="008808E8" w:rsidRPr="008808E8">
        <w:rPr>
          <w:rFonts w:ascii="Arial" w:hAnsi="Arial" w:cs="Arial"/>
          <w:sz w:val="20"/>
          <w:szCs w:val="20"/>
        </w:rPr>
        <w:t xml:space="preserve">As the decision </w:t>
      </w:r>
      <w:r w:rsidR="009E0874">
        <w:rPr>
          <w:rFonts w:ascii="Arial" w:hAnsi="Arial" w:cs="Arial"/>
          <w:sz w:val="20"/>
          <w:szCs w:val="20"/>
        </w:rPr>
        <w:t xml:space="preserve">to introduce a Dress Code </w:t>
      </w:r>
      <w:r w:rsidR="008808E8" w:rsidRPr="008808E8">
        <w:rPr>
          <w:rFonts w:ascii="Arial" w:hAnsi="Arial" w:cs="Arial"/>
          <w:sz w:val="20"/>
          <w:szCs w:val="20"/>
        </w:rPr>
        <w:t>has been made by the Company Name Management Team, additional c</w:t>
      </w:r>
      <w:r w:rsidR="00024A5B" w:rsidRPr="008808E8">
        <w:rPr>
          <w:rFonts w:ascii="Arial" w:hAnsi="Arial" w:cs="Arial"/>
          <w:sz w:val="20"/>
          <w:szCs w:val="20"/>
        </w:rPr>
        <w:t xml:space="preserve">onsultation is not required. </w:t>
      </w:r>
    </w:p>
    <w:p w:rsidR="00321587" w:rsidRDefault="00321587" w:rsidP="000D77E5">
      <w:pPr>
        <w:spacing w:before="240" w:after="0" w:line="240" w:lineRule="auto"/>
        <w:rPr>
          <w:rFonts w:ascii="Arial" w:hAnsi="Arial" w:cs="Arial"/>
          <w:sz w:val="20"/>
          <w:szCs w:val="20"/>
        </w:rPr>
      </w:pPr>
      <w:r w:rsidRPr="00A8073B">
        <w:rPr>
          <w:rFonts w:ascii="Arial" w:hAnsi="Arial" w:cs="Arial"/>
          <w:sz w:val="20"/>
          <w:szCs w:val="20"/>
        </w:rPr>
        <w:lastRenderedPageBreak/>
        <w:t xml:space="preserve">Monitoring and implementation of the policy would remain under the authority of </w:t>
      </w:r>
      <w:r w:rsidR="00024A5B" w:rsidRPr="00A8073B">
        <w:rPr>
          <w:rFonts w:ascii="Arial" w:hAnsi="Arial" w:cs="Arial"/>
          <w:sz w:val="20"/>
          <w:szCs w:val="20"/>
        </w:rPr>
        <w:t xml:space="preserve">Company Name Human Resources unit. </w:t>
      </w:r>
    </w:p>
    <w:p w:rsidR="000D77E5" w:rsidRDefault="000D77E5" w:rsidP="000D77E5">
      <w:pPr>
        <w:spacing w:before="120" w:line="240" w:lineRule="auto"/>
        <w:rPr>
          <w:rFonts w:ascii="Arial" w:hAnsi="Arial" w:cs="Arial"/>
          <w:sz w:val="20"/>
          <w:szCs w:val="20"/>
        </w:rPr>
      </w:pPr>
      <w:bookmarkStart w:id="0" w:name="_GoBack"/>
      <w:bookmarkEnd w:id="0"/>
    </w:p>
    <w:p w:rsidR="00321587" w:rsidRPr="00A8073B" w:rsidRDefault="00321587" w:rsidP="00321587">
      <w:pPr>
        <w:pStyle w:val="ListParagraph"/>
        <w:numPr>
          <w:ilvl w:val="0"/>
          <w:numId w:val="1"/>
        </w:numPr>
        <w:spacing w:line="276" w:lineRule="auto"/>
        <w:ind w:left="0" w:firstLine="0"/>
        <w:rPr>
          <w:rFonts w:ascii="Arial" w:hAnsi="Arial" w:cs="Arial"/>
          <w:b/>
          <w:color w:val="17365D"/>
          <w:sz w:val="24"/>
          <w:szCs w:val="24"/>
        </w:rPr>
      </w:pPr>
      <w:r w:rsidRPr="00A8073B">
        <w:rPr>
          <w:rFonts w:ascii="Arial" w:hAnsi="Arial" w:cs="Arial"/>
          <w:b/>
          <w:color w:val="17365D"/>
          <w:sz w:val="24"/>
          <w:szCs w:val="24"/>
        </w:rPr>
        <w:t>Compliance with national legislation, Statutes and policies</w:t>
      </w:r>
    </w:p>
    <w:p w:rsidR="00321587" w:rsidRPr="00A8073B" w:rsidRDefault="00A8073B" w:rsidP="00321587">
      <w:pPr>
        <w:rPr>
          <w:rFonts w:ascii="Arial" w:hAnsi="Arial" w:cs="Arial"/>
          <w:sz w:val="20"/>
          <w:szCs w:val="20"/>
        </w:rPr>
      </w:pPr>
      <w:r w:rsidRPr="00A8073B">
        <w:rPr>
          <w:rFonts w:ascii="Arial" w:hAnsi="Arial" w:cs="Arial"/>
          <w:sz w:val="20"/>
          <w:szCs w:val="20"/>
        </w:rPr>
        <w:t xml:space="preserve">This policy complies with all relevant legislation and Company Name policies. </w:t>
      </w:r>
    </w:p>
    <w:p w:rsidR="00321587" w:rsidRPr="00024A5B" w:rsidRDefault="00321587" w:rsidP="00321587">
      <w:pPr>
        <w:spacing w:after="0"/>
        <w:rPr>
          <w:rFonts w:ascii="Arial" w:hAnsi="Arial" w:cs="Arial"/>
          <w:color w:val="17365D"/>
          <w:sz w:val="20"/>
          <w:szCs w:val="20"/>
        </w:rPr>
      </w:pPr>
    </w:p>
    <w:p w:rsidR="00321587" w:rsidRPr="00024A5B" w:rsidRDefault="00321587" w:rsidP="00321587">
      <w:pPr>
        <w:pStyle w:val="ListParagraph"/>
        <w:numPr>
          <w:ilvl w:val="0"/>
          <w:numId w:val="1"/>
        </w:numPr>
        <w:spacing w:line="276" w:lineRule="auto"/>
        <w:ind w:left="0" w:firstLine="0"/>
        <w:rPr>
          <w:rFonts w:ascii="Arial" w:hAnsi="Arial" w:cs="Arial"/>
          <w:b/>
          <w:color w:val="17365D"/>
          <w:sz w:val="24"/>
          <w:szCs w:val="24"/>
        </w:rPr>
      </w:pPr>
      <w:r w:rsidRPr="00024A5B">
        <w:rPr>
          <w:rFonts w:ascii="Arial" w:hAnsi="Arial" w:cs="Arial"/>
          <w:b/>
          <w:color w:val="17365D"/>
          <w:sz w:val="24"/>
          <w:szCs w:val="24"/>
        </w:rPr>
        <w:t>Supporting documents</w:t>
      </w:r>
    </w:p>
    <w:p w:rsidR="00321587" w:rsidRPr="00024A5B" w:rsidRDefault="00321587" w:rsidP="00321587">
      <w:pPr>
        <w:rPr>
          <w:rFonts w:ascii="Arial" w:hAnsi="Arial" w:cs="Arial"/>
          <w:sz w:val="20"/>
          <w:szCs w:val="20"/>
        </w:rPr>
      </w:pPr>
      <w:r w:rsidRPr="00024A5B">
        <w:rPr>
          <w:rFonts w:ascii="Arial" w:hAnsi="Arial" w:cs="Arial"/>
          <w:sz w:val="20"/>
          <w:szCs w:val="20"/>
        </w:rPr>
        <w:t xml:space="preserve">Guidance material for </w:t>
      </w:r>
      <w:r w:rsidR="00024A5B" w:rsidRPr="00024A5B">
        <w:rPr>
          <w:rFonts w:ascii="Arial" w:hAnsi="Arial" w:cs="Arial"/>
          <w:sz w:val="20"/>
          <w:szCs w:val="20"/>
        </w:rPr>
        <w:t xml:space="preserve">all existing staff, including illustrated posters for display in all staff areas and for inclusion in staff handbooks. </w:t>
      </w:r>
    </w:p>
    <w:p w:rsidR="00321587" w:rsidRPr="00024A5B" w:rsidRDefault="00321587" w:rsidP="00321587">
      <w:pPr>
        <w:rPr>
          <w:rFonts w:ascii="Arial" w:hAnsi="Arial" w:cs="Arial"/>
          <w:sz w:val="20"/>
          <w:szCs w:val="20"/>
        </w:rPr>
      </w:pPr>
      <w:r w:rsidRPr="00024A5B">
        <w:rPr>
          <w:rFonts w:ascii="Arial" w:hAnsi="Arial" w:cs="Arial"/>
          <w:sz w:val="20"/>
          <w:szCs w:val="20"/>
        </w:rPr>
        <w:t xml:space="preserve">Guidance material for </w:t>
      </w:r>
      <w:r w:rsidR="00024A5B" w:rsidRPr="00024A5B">
        <w:rPr>
          <w:rFonts w:ascii="Arial" w:hAnsi="Arial" w:cs="Arial"/>
          <w:sz w:val="20"/>
          <w:szCs w:val="20"/>
        </w:rPr>
        <w:t>new members of staff for inclusion in induction and orientation training.</w:t>
      </w:r>
    </w:p>
    <w:p w:rsidR="00321587" w:rsidRPr="00024A5B" w:rsidRDefault="00321587" w:rsidP="00321587">
      <w:pPr>
        <w:spacing w:after="0"/>
        <w:rPr>
          <w:rFonts w:ascii="Arial" w:hAnsi="Arial" w:cs="Arial"/>
          <w:color w:val="17365D"/>
          <w:sz w:val="20"/>
          <w:szCs w:val="20"/>
        </w:rPr>
      </w:pPr>
    </w:p>
    <w:p w:rsidR="00321587" w:rsidRPr="00024A5B" w:rsidRDefault="00321587" w:rsidP="00321587">
      <w:pPr>
        <w:pStyle w:val="ListParagraph"/>
        <w:numPr>
          <w:ilvl w:val="0"/>
          <w:numId w:val="1"/>
        </w:numPr>
        <w:ind w:left="0" w:firstLine="0"/>
        <w:rPr>
          <w:rFonts w:ascii="Arial" w:hAnsi="Arial" w:cs="Arial"/>
          <w:b/>
          <w:color w:val="17365D"/>
          <w:sz w:val="24"/>
          <w:szCs w:val="24"/>
        </w:rPr>
      </w:pPr>
      <w:r w:rsidRPr="00024A5B">
        <w:rPr>
          <w:rFonts w:ascii="Arial" w:hAnsi="Arial" w:cs="Arial"/>
          <w:b/>
          <w:color w:val="17365D"/>
          <w:sz w:val="24"/>
          <w:szCs w:val="24"/>
        </w:rPr>
        <w:t>Communication and training needs</w:t>
      </w:r>
    </w:p>
    <w:p w:rsidR="00464F07" w:rsidRPr="00A8073B" w:rsidRDefault="00321587" w:rsidP="00A8073B">
      <w:pPr>
        <w:spacing w:after="0"/>
        <w:rPr>
          <w:rFonts w:ascii="Arial" w:hAnsi="Arial" w:cs="Arial"/>
          <w:sz w:val="24"/>
          <w:szCs w:val="24"/>
        </w:rPr>
      </w:pPr>
      <w:r w:rsidRPr="00024A5B">
        <w:rPr>
          <w:rFonts w:ascii="Arial" w:hAnsi="Arial" w:cs="Arial"/>
          <w:sz w:val="20"/>
          <w:szCs w:val="20"/>
        </w:rPr>
        <w:t xml:space="preserve">Given the applicability of </w:t>
      </w:r>
      <w:r w:rsidR="00024A5B" w:rsidRPr="00024A5B">
        <w:rPr>
          <w:rFonts w:ascii="Arial" w:hAnsi="Arial" w:cs="Arial"/>
          <w:sz w:val="20"/>
          <w:szCs w:val="20"/>
        </w:rPr>
        <w:t xml:space="preserve">the </w:t>
      </w:r>
      <w:r w:rsidRPr="00024A5B">
        <w:rPr>
          <w:rFonts w:ascii="Arial" w:hAnsi="Arial" w:cs="Arial"/>
          <w:sz w:val="20"/>
          <w:szCs w:val="20"/>
        </w:rPr>
        <w:t xml:space="preserve">policy across the majority of the </w:t>
      </w:r>
      <w:r w:rsidR="00024A5B" w:rsidRPr="00024A5B">
        <w:rPr>
          <w:rFonts w:ascii="Arial" w:hAnsi="Arial" w:cs="Arial"/>
          <w:sz w:val="20"/>
          <w:szCs w:val="20"/>
        </w:rPr>
        <w:t xml:space="preserve">Company workforce, </w:t>
      </w:r>
      <w:r w:rsidRPr="00024A5B">
        <w:rPr>
          <w:rFonts w:ascii="Arial" w:hAnsi="Arial" w:cs="Arial"/>
          <w:sz w:val="20"/>
          <w:szCs w:val="20"/>
        </w:rPr>
        <w:t>a comprehensive communication strategy will be required in order to successfully implement</w:t>
      </w:r>
      <w:r w:rsidR="00024A5B" w:rsidRPr="00024A5B">
        <w:rPr>
          <w:rFonts w:ascii="Arial" w:hAnsi="Arial" w:cs="Arial"/>
          <w:sz w:val="20"/>
          <w:szCs w:val="20"/>
        </w:rPr>
        <w:t xml:space="preserve"> the</w:t>
      </w:r>
      <w:r w:rsidRPr="00024A5B">
        <w:rPr>
          <w:rFonts w:ascii="Arial" w:hAnsi="Arial" w:cs="Arial"/>
          <w:sz w:val="20"/>
          <w:szCs w:val="20"/>
        </w:rPr>
        <w:t xml:space="preserve"> newly-constituted procedures. This communication strategy should also incorporate some training for those managing breaches of</w:t>
      </w:r>
      <w:r w:rsidR="00024A5B" w:rsidRPr="00024A5B">
        <w:rPr>
          <w:rFonts w:ascii="Arial" w:hAnsi="Arial" w:cs="Arial"/>
          <w:sz w:val="20"/>
          <w:szCs w:val="20"/>
        </w:rPr>
        <w:t xml:space="preserve"> the</w:t>
      </w:r>
      <w:r w:rsidRPr="00024A5B">
        <w:rPr>
          <w:rFonts w:ascii="Arial" w:hAnsi="Arial" w:cs="Arial"/>
          <w:sz w:val="20"/>
          <w:szCs w:val="20"/>
        </w:rPr>
        <w:t xml:space="preserve"> policy, most particularly</w:t>
      </w:r>
      <w:r w:rsidR="00024A5B" w:rsidRPr="00024A5B">
        <w:rPr>
          <w:rFonts w:ascii="Arial" w:hAnsi="Arial" w:cs="Arial"/>
          <w:sz w:val="20"/>
          <w:szCs w:val="20"/>
        </w:rPr>
        <w:t xml:space="preserve"> heads of unit</w:t>
      </w:r>
      <w:r w:rsidR="00024A5B">
        <w:rPr>
          <w:rFonts w:ascii="Arial" w:hAnsi="Arial" w:cs="Arial"/>
          <w:sz w:val="20"/>
          <w:szCs w:val="20"/>
        </w:rPr>
        <w:t xml:space="preserve"> and those delivering induction programmes for new staff</w:t>
      </w:r>
      <w:r w:rsidR="00024A5B" w:rsidRPr="00024A5B">
        <w:rPr>
          <w:rFonts w:ascii="Arial" w:hAnsi="Arial" w:cs="Arial"/>
          <w:sz w:val="20"/>
          <w:szCs w:val="20"/>
        </w:rPr>
        <w:t>.</w:t>
      </w:r>
      <w:r w:rsidR="00024A5B">
        <w:rPr>
          <w:rFonts w:ascii="Arial" w:hAnsi="Arial" w:cs="Arial"/>
          <w:sz w:val="20"/>
          <w:szCs w:val="20"/>
        </w:rPr>
        <w:t xml:space="preserve"> </w:t>
      </w:r>
    </w:p>
    <w:sectPr w:rsidR="00464F07" w:rsidRPr="00A8073B" w:rsidSect="001A0830">
      <w:headerReference w:type="even" r:id="rId9"/>
      <w:headerReference w:type="default" r:id="rId10"/>
      <w:footerReference w:type="default" r:id="rId11"/>
      <w:headerReference w:type="first" r:id="rId12"/>
      <w:pgSz w:w="11906" w:h="16838"/>
      <w:pgMar w:top="110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90F" w:rsidRDefault="00B7090F" w:rsidP="00321587">
      <w:pPr>
        <w:spacing w:after="0" w:line="240" w:lineRule="auto"/>
      </w:pPr>
      <w:r>
        <w:separator/>
      </w:r>
    </w:p>
  </w:endnote>
  <w:endnote w:type="continuationSeparator" w:id="0">
    <w:p w:rsidR="00B7090F" w:rsidRDefault="00B7090F" w:rsidP="00321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36F" w:rsidRPr="00AF4B13" w:rsidRDefault="004F036F" w:rsidP="004F036F">
    <w:pPr>
      <w:pStyle w:val="Footer"/>
      <w:numPr>
        <w:ilvl w:val="0"/>
        <w:numId w:val="14"/>
      </w:numPr>
      <w:pBdr>
        <w:top w:val="thinThickSmallGap" w:sz="24" w:space="1" w:color="622423" w:themeColor="accent2" w:themeShade="7F"/>
      </w:pBdr>
      <w:rPr>
        <w:rFonts w:ascii="Arial" w:eastAsiaTheme="majorEastAsia" w:hAnsi="Arial" w:cs="Arial"/>
        <w:sz w:val="18"/>
        <w:szCs w:val="18"/>
      </w:rPr>
    </w:pPr>
    <w:r w:rsidRPr="00AF4B13">
      <w:rPr>
        <w:rFonts w:ascii="Arial" w:eastAsiaTheme="majorEastAsia" w:hAnsi="Arial" w:cs="Arial"/>
        <w:sz w:val="18"/>
        <w:szCs w:val="18"/>
      </w:rPr>
      <w:t>This draft illustrative policy</w:t>
    </w:r>
    <w:r w:rsidR="004558BF">
      <w:rPr>
        <w:rFonts w:ascii="Arial" w:eastAsiaTheme="majorEastAsia" w:hAnsi="Arial" w:cs="Arial"/>
        <w:sz w:val="18"/>
        <w:szCs w:val="18"/>
      </w:rPr>
      <w:t xml:space="preserve"> proposal</w:t>
    </w:r>
    <w:r w:rsidRPr="00AF4B13">
      <w:rPr>
        <w:rFonts w:ascii="Arial" w:eastAsiaTheme="majorEastAsia" w:hAnsi="Arial" w:cs="Arial"/>
        <w:sz w:val="18"/>
        <w:szCs w:val="18"/>
      </w:rPr>
      <w:t xml:space="preserve"> has been purposely developed to include examples of phrasing and policy directives that could have a negative impact on employees on any of the 10 </w:t>
    </w:r>
    <w:r w:rsidR="00357E75">
      <w:rPr>
        <w:rFonts w:ascii="Arial" w:eastAsiaTheme="majorEastAsia" w:hAnsi="Arial" w:cs="Arial"/>
        <w:sz w:val="18"/>
        <w:szCs w:val="18"/>
      </w:rPr>
      <w:t>categories</w:t>
    </w:r>
    <w:r w:rsidRPr="00AF4B13">
      <w:rPr>
        <w:rFonts w:ascii="Arial" w:eastAsiaTheme="majorEastAsia" w:hAnsi="Arial" w:cs="Arial"/>
        <w:sz w:val="18"/>
        <w:szCs w:val="18"/>
      </w:rPr>
      <w:t xml:space="preserve"> identified in the Equality Impact Assessment Guidelines.  </w:t>
    </w:r>
  </w:p>
  <w:p w:rsidR="004F036F" w:rsidRPr="00AF4B13" w:rsidRDefault="004F036F" w:rsidP="004F036F">
    <w:pPr>
      <w:pStyle w:val="Footer"/>
      <w:numPr>
        <w:ilvl w:val="0"/>
        <w:numId w:val="14"/>
      </w:numPr>
      <w:pBdr>
        <w:top w:val="thinThickSmallGap" w:sz="24" w:space="1" w:color="622423" w:themeColor="accent2" w:themeShade="7F"/>
      </w:pBdr>
      <w:rPr>
        <w:rFonts w:ascii="Arial" w:eastAsiaTheme="majorEastAsia" w:hAnsi="Arial" w:cs="Arial"/>
        <w:sz w:val="18"/>
        <w:szCs w:val="18"/>
      </w:rPr>
    </w:pPr>
    <w:r w:rsidRPr="00AF4B13">
      <w:rPr>
        <w:rFonts w:ascii="Arial" w:eastAsiaTheme="majorEastAsia" w:hAnsi="Arial" w:cs="Arial"/>
        <w:sz w:val="18"/>
        <w:szCs w:val="18"/>
      </w:rPr>
      <w:t xml:space="preserve">This draft illustrative policy has been informed by international good practice as set out by ACAS, </w:t>
    </w:r>
    <w:r w:rsidR="00576D86">
      <w:rPr>
        <w:rFonts w:ascii="Arial" w:eastAsiaTheme="majorEastAsia" w:hAnsi="Arial" w:cs="Arial"/>
        <w:sz w:val="18"/>
        <w:szCs w:val="18"/>
      </w:rPr>
      <w:t xml:space="preserve">the </w:t>
    </w:r>
    <w:r w:rsidRPr="00AF4B13">
      <w:rPr>
        <w:rFonts w:ascii="Arial" w:eastAsiaTheme="majorEastAsia" w:hAnsi="Arial" w:cs="Arial"/>
        <w:sz w:val="18"/>
        <w:szCs w:val="18"/>
      </w:rPr>
      <w:t xml:space="preserve">Australian Human Rights Commission and the Society for Human Resources Management, USA.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90F" w:rsidRDefault="00B7090F" w:rsidP="00321587">
      <w:pPr>
        <w:spacing w:after="0" w:line="240" w:lineRule="auto"/>
      </w:pPr>
      <w:r>
        <w:separator/>
      </w:r>
    </w:p>
  </w:footnote>
  <w:footnote w:type="continuationSeparator" w:id="0">
    <w:p w:rsidR="00B7090F" w:rsidRDefault="00B7090F" w:rsidP="003215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94" w:rsidRDefault="003D24B1">
    <w:pPr>
      <w:pStyle w:val="Header"/>
    </w:pPr>
    <w:r w:rsidRPr="003D24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6992" o:spid="_x0000_s1026" type="#_x0000_t136" style="position:absolute;margin-left:0;margin-top:0;width:445.4pt;height:190.85pt;rotation:315;z-index:-25165619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867046820"/>
      <w:docPartObj>
        <w:docPartGallery w:val="Page Numbers (Top of Page)"/>
        <w:docPartUnique/>
      </w:docPartObj>
    </w:sdtPr>
    <w:sdtEndPr>
      <w:rPr>
        <w:b/>
        <w:bCs/>
        <w:noProof/>
        <w:color w:val="auto"/>
        <w:spacing w:val="0"/>
      </w:rPr>
    </w:sdtEndPr>
    <w:sdtContent>
      <w:p w:rsidR="00DB01D7" w:rsidRDefault="00DB01D7">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rsidR="003D24B1" w:rsidRPr="003D24B1">
          <w:fldChar w:fldCharType="begin"/>
        </w:r>
        <w:r>
          <w:instrText xml:space="preserve"> PAGE   \* MERGEFORMAT </w:instrText>
        </w:r>
        <w:r w:rsidR="003D24B1" w:rsidRPr="003D24B1">
          <w:fldChar w:fldCharType="separate"/>
        </w:r>
        <w:r w:rsidR="00A07A53" w:rsidRPr="00A07A53">
          <w:rPr>
            <w:b/>
            <w:bCs/>
            <w:noProof/>
          </w:rPr>
          <w:t>1</w:t>
        </w:r>
        <w:r w:rsidR="003D24B1">
          <w:rPr>
            <w:b/>
            <w:bCs/>
            <w:noProof/>
          </w:rPr>
          <w:fldChar w:fldCharType="end"/>
        </w:r>
      </w:p>
    </w:sdtContent>
  </w:sdt>
  <w:p w:rsidR="008316EF" w:rsidRDefault="003D24B1">
    <w:pPr>
      <w:pStyle w:val="Header"/>
    </w:pPr>
    <w:r w:rsidRPr="003D24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6993" o:spid="_x0000_s1027"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94" w:rsidRDefault="003D24B1">
    <w:pPr>
      <w:pStyle w:val="Header"/>
    </w:pPr>
    <w:r w:rsidRPr="003D24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6991" o:spid="_x0000_s1025" type="#_x0000_t136" style="position:absolute;margin-left:0;margin-top:0;width:445.4pt;height:190.85pt;rotation:315;z-index:-25165824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223"/>
    <w:multiLevelType w:val="hybridMultilevel"/>
    <w:tmpl w:val="185C00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6C83217"/>
    <w:multiLevelType w:val="hybridMultilevel"/>
    <w:tmpl w:val="A302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BC6D13"/>
    <w:multiLevelType w:val="multilevel"/>
    <w:tmpl w:val="8932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A4DAB"/>
    <w:multiLevelType w:val="multilevel"/>
    <w:tmpl w:val="CC18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257514"/>
    <w:multiLevelType w:val="multilevel"/>
    <w:tmpl w:val="A792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BE1F0B"/>
    <w:multiLevelType w:val="multilevel"/>
    <w:tmpl w:val="530E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872A8E"/>
    <w:multiLevelType w:val="multilevel"/>
    <w:tmpl w:val="8B1A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4A2416"/>
    <w:multiLevelType w:val="multilevel"/>
    <w:tmpl w:val="2242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A33880"/>
    <w:multiLevelType w:val="hybridMultilevel"/>
    <w:tmpl w:val="A9F23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C857334"/>
    <w:multiLevelType w:val="multilevel"/>
    <w:tmpl w:val="B234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F21C16"/>
    <w:multiLevelType w:val="multilevel"/>
    <w:tmpl w:val="5E8A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5915916"/>
    <w:multiLevelType w:val="hybridMultilevel"/>
    <w:tmpl w:val="C1381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8057B35"/>
    <w:multiLevelType w:val="hybridMultilevel"/>
    <w:tmpl w:val="7CC04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AB6604"/>
    <w:multiLevelType w:val="multilevel"/>
    <w:tmpl w:val="F8E06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2"/>
  </w:num>
  <w:num w:numId="2">
    <w:abstractNumId w:val="11"/>
  </w:num>
  <w:num w:numId="3">
    <w:abstractNumId w:val="8"/>
  </w:num>
  <w:num w:numId="4">
    <w:abstractNumId w:val="0"/>
  </w:num>
  <w:num w:numId="5">
    <w:abstractNumId w:val="3"/>
  </w:num>
  <w:num w:numId="6">
    <w:abstractNumId w:val="5"/>
  </w:num>
  <w:num w:numId="7">
    <w:abstractNumId w:val="7"/>
  </w:num>
  <w:num w:numId="8">
    <w:abstractNumId w:val="10"/>
  </w:num>
  <w:num w:numId="9">
    <w:abstractNumId w:val="4"/>
  </w:num>
  <w:num w:numId="10">
    <w:abstractNumId w:val="9"/>
  </w:num>
  <w:num w:numId="11">
    <w:abstractNumId w:val="13"/>
  </w:num>
  <w:num w:numId="12">
    <w:abstractNumId w:val="6"/>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21587"/>
    <w:rsid w:val="00024A5B"/>
    <w:rsid w:val="000D77E5"/>
    <w:rsid w:val="00195FA1"/>
    <w:rsid w:val="001A46C6"/>
    <w:rsid w:val="001D2706"/>
    <w:rsid w:val="00273E6E"/>
    <w:rsid w:val="00321587"/>
    <w:rsid w:val="00357E75"/>
    <w:rsid w:val="003D24B1"/>
    <w:rsid w:val="00403F22"/>
    <w:rsid w:val="004558BF"/>
    <w:rsid w:val="00464F07"/>
    <w:rsid w:val="004F036F"/>
    <w:rsid w:val="00576D86"/>
    <w:rsid w:val="008808E8"/>
    <w:rsid w:val="00947154"/>
    <w:rsid w:val="00960E9E"/>
    <w:rsid w:val="009E0874"/>
    <w:rsid w:val="00A07A53"/>
    <w:rsid w:val="00A8073B"/>
    <w:rsid w:val="00AF4B13"/>
    <w:rsid w:val="00B25C9B"/>
    <w:rsid w:val="00B569BE"/>
    <w:rsid w:val="00B7090F"/>
    <w:rsid w:val="00CF4A72"/>
    <w:rsid w:val="00D05400"/>
    <w:rsid w:val="00DB01D7"/>
    <w:rsid w:val="00DB0A88"/>
    <w:rsid w:val="00E728B3"/>
    <w:rsid w:val="00ED3FC0"/>
    <w:rsid w:val="00EE1015"/>
    <w:rsid w:val="00F46125"/>
    <w:rsid w:val="00F64EB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87"/>
    <w:pPr>
      <w:spacing w:after="160" w:line="259" w:lineRule="auto"/>
    </w:pPr>
  </w:style>
  <w:style w:type="paragraph" w:styleId="Heading1">
    <w:name w:val="heading 1"/>
    <w:basedOn w:val="Normal"/>
    <w:link w:val="Heading1Char"/>
    <w:uiPriority w:val="9"/>
    <w:qFormat/>
    <w:rsid w:val="00464F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587"/>
    <w:pPr>
      <w:ind w:left="720"/>
      <w:contextualSpacing/>
    </w:pPr>
  </w:style>
  <w:style w:type="table" w:styleId="TableGrid">
    <w:name w:val="Table Grid"/>
    <w:basedOn w:val="TableNormal"/>
    <w:uiPriority w:val="39"/>
    <w:rsid w:val="00321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1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587"/>
  </w:style>
  <w:style w:type="paragraph" w:styleId="Footer">
    <w:name w:val="footer"/>
    <w:basedOn w:val="Normal"/>
    <w:link w:val="FooterChar"/>
    <w:uiPriority w:val="99"/>
    <w:unhideWhenUsed/>
    <w:qFormat/>
    <w:rsid w:val="00321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587"/>
  </w:style>
  <w:style w:type="paragraph" w:styleId="BalloonText">
    <w:name w:val="Balloon Text"/>
    <w:basedOn w:val="Normal"/>
    <w:link w:val="BalloonTextChar"/>
    <w:uiPriority w:val="99"/>
    <w:semiHidden/>
    <w:unhideWhenUsed/>
    <w:rsid w:val="00321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587"/>
    <w:rPr>
      <w:rFonts w:ascii="Tahoma" w:hAnsi="Tahoma" w:cs="Tahoma"/>
      <w:sz w:val="16"/>
      <w:szCs w:val="16"/>
    </w:rPr>
  </w:style>
  <w:style w:type="character" w:customStyle="1" w:styleId="Heading1Char">
    <w:name w:val="Heading 1 Char"/>
    <w:basedOn w:val="DefaultParagraphFont"/>
    <w:link w:val="Heading1"/>
    <w:uiPriority w:val="9"/>
    <w:rsid w:val="00464F0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64F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64F07"/>
    <w:rPr>
      <w:i/>
      <w:iCs/>
    </w:rPr>
  </w:style>
  <w:style w:type="character" w:styleId="Hyperlink">
    <w:name w:val="Hyperlink"/>
    <w:basedOn w:val="DefaultParagraphFont"/>
    <w:uiPriority w:val="99"/>
    <w:unhideWhenUsed/>
    <w:rsid w:val="00464F07"/>
    <w:rPr>
      <w:color w:val="0000FF" w:themeColor="hyperlink"/>
      <w:u w:val="single"/>
    </w:rPr>
  </w:style>
  <w:style w:type="character" w:customStyle="1" w:styleId="apple-converted-space">
    <w:name w:val="apple-converted-space"/>
    <w:basedOn w:val="DefaultParagraphFont"/>
    <w:rsid w:val="0046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87"/>
    <w:pPr>
      <w:spacing w:after="160" w:line="259" w:lineRule="auto"/>
    </w:pPr>
  </w:style>
  <w:style w:type="paragraph" w:styleId="Heading1">
    <w:name w:val="heading 1"/>
    <w:basedOn w:val="Normal"/>
    <w:link w:val="Heading1Char"/>
    <w:uiPriority w:val="9"/>
    <w:qFormat/>
    <w:rsid w:val="00464F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587"/>
    <w:pPr>
      <w:ind w:left="720"/>
      <w:contextualSpacing/>
    </w:pPr>
  </w:style>
  <w:style w:type="table" w:styleId="TableGrid">
    <w:name w:val="Table Grid"/>
    <w:basedOn w:val="TableNormal"/>
    <w:uiPriority w:val="39"/>
    <w:rsid w:val="0032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587"/>
  </w:style>
  <w:style w:type="paragraph" w:styleId="Footer">
    <w:name w:val="footer"/>
    <w:basedOn w:val="Normal"/>
    <w:link w:val="FooterChar"/>
    <w:uiPriority w:val="99"/>
    <w:unhideWhenUsed/>
    <w:qFormat/>
    <w:rsid w:val="00321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587"/>
  </w:style>
  <w:style w:type="paragraph" w:styleId="BalloonText">
    <w:name w:val="Balloon Text"/>
    <w:basedOn w:val="Normal"/>
    <w:link w:val="BalloonTextChar"/>
    <w:uiPriority w:val="99"/>
    <w:semiHidden/>
    <w:unhideWhenUsed/>
    <w:rsid w:val="00321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587"/>
    <w:rPr>
      <w:rFonts w:ascii="Tahoma" w:hAnsi="Tahoma" w:cs="Tahoma"/>
      <w:sz w:val="16"/>
      <w:szCs w:val="16"/>
    </w:rPr>
  </w:style>
  <w:style w:type="character" w:customStyle="1" w:styleId="Heading1Char">
    <w:name w:val="Heading 1 Char"/>
    <w:basedOn w:val="DefaultParagraphFont"/>
    <w:link w:val="Heading1"/>
    <w:uiPriority w:val="9"/>
    <w:rsid w:val="00464F0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64F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64F07"/>
    <w:rPr>
      <w:i/>
      <w:iCs/>
    </w:rPr>
  </w:style>
  <w:style w:type="character" w:styleId="Hyperlink">
    <w:name w:val="Hyperlink"/>
    <w:basedOn w:val="DefaultParagraphFont"/>
    <w:uiPriority w:val="99"/>
    <w:unhideWhenUsed/>
    <w:rsid w:val="00464F07"/>
    <w:rPr>
      <w:color w:val="0000FF" w:themeColor="hyperlink"/>
      <w:u w:val="single"/>
    </w:rPr>
  </w:style>
  <w:style w:type="character" w:customStyle="1" w:styleId="apple-converted-space">
    <w:name w:val="apple-converted-space"/>
    <w:basedOn w:val="DefaultParagraphFont"/>
    <w:rsid w:val="00464F0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41269-4E3E-4454-8F66-707B297E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UCD Quality Office</dc:creator>
  <cp:lastModifiedBy>admin</cp:lastModifiedBy>
  <cp:revision>2</cp:revision>
  <dcterms:created xsi:type="dcterms:W3CDTF">2017-06-20T12:07:00Z</dcterms:created>
  <dcterms:modified xsi:type="dcterms:W3CDTF">2017-06-20T12:07:00Z</dcterms:modified>
</cp:coreProperties>
</file>